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Schedule 19 may be included to adapt the Core Terms and Schedules so that the Order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Order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Order schedules where Scottish Law applies]</w:t>
      </w:r>
    </w:p>
    <w:p w:rsidR="00000000" w:rsidDel="00000000" w:rsidP="00000000" w:rsidRDefault="00000000" w:rsidRPr="00000000" w14:paraId="0000002C">
      <w:pPr>
        <w:rPr>
          <w:smallCaps w:val="1"/>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Order Contract it shall have the effect of substituting the equivalent legislation applicable in Scotland.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19 (Scottish Law)</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2IciFTOmhsWuaiApFK3UAlZhkQ==">AMUW2mWvNyO0I0D1aGnRw+DmekSdNWSzRzh7GbEHKyL+aoWvmVTjJPi1+XnZk+/GM/4Bs3qj0dUErOlRxoTh4QTJBLLWprSrDYODoLIKB4YtvnzSoWCgJnbeDzyUqEEfqOButfdOudG8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2022-09-29T09:15:00Z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